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595F30">
        <w:rPr>
          <w:noProof w:val="0"/>
          <w:sz w:val="24"/>
          <w:szCs w:val="24"/>
        </w:rPr>
        <w:t>WG1</w:t>
      </w:r>
      <w:r w:rsidR="00936071">
        <w:rPr>
          <w:noProof w:val="0"/>
          <w:sz w:val="24"/>
          <w:szCs w:val="24"/>
        </w:rPr>
        <w:t xml:space="preserve"> NR Adhoc</w:t>
      </w:r>
      <w:r w:rsidRPr="00B266B0">
        <w:rPr>
          <w:bCs/>
          <w:noProof w:val="0"/>
          <w:sz w:val="24"/>
          <w:szCs w:val="24"/>
        </w:rPr>
        <w:tab/>
      </w:r>
      <w:r w:rsidRPr="00B266B0">
        <w:rPr>
          <w:rFonts w:hint="eastAsia"/>
          <w:bCs/>
          <w:noProof w:val="0"/>
          <w:sz w:val="24"/>
          <w:szCs w:val="24"/>
        </w:rPr>
        <w:t>R</w:t>
      </w:r>
      <w:r w:rsidR="00E47CF8">
        <w:rPr>
          <w:bCs/>
          <w:noProof w:val="0"/>
          <w:sz w:val="24"/>
          <w:szCs w:val="24"/>
        </w:rPr>
        <w:t>1</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47CF8">
        <w:rPr>
          <w:bCs/>
          <w:noProof w:val="0"/>
          <w:sz w:val="24"/>
          <w:szCs w:val="24"/>
        </w:rPr>
        <w:t>01154</w:t>
      </w:r>
    </w:p>
    <w:p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95F30">
        <w:rPr>
          <w:rFonts w:eastAsia="SimSun"/>
          <w:noProof w:val="0"/>
          <w:sz w:val="24"/>
          <w:szCs w:val="24"/>
          <w:lang w:eastAsia="zh-CN"/>
        </w:rPr>
        <w:t>16</w:t>
      </w:r>
      <w:r w:rsidR="00C24650" w:rsidRPr="00C24650">
        <w:rPr>
          <w:rFonts w:eastAsia="SimSun"/>
          <w:noProof w:val="0"/>
          <w:sz w:val="24"/>
          <w:szCs w:val="24"/>
          <w:lang w:eastAsia="zh-CN"/>
        </w:rPr>
        <w:t xml:space="preserve"> - </w:t>
      </w:r>
      <w:r w:rsidR="00595F30">
        <w:rPr>
          <w:rFonts w:eastAsia="SimSun"/>
          <w:noProof w:val="0"/>
          <w:sz w:val="24"/>
          <w:szCs w:val="24"/>
          <w:lang w:eastAsia="zh-CN"/>
        </w:rPr>
        <w:t>20</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7CF8">
        <w:rPr>
          <w:rFonts w:cs="Arial"/>
          <w:b/>
          <w:bCs/>
          <w:sz w:val="24"/>
          <w:lang w:eastAsia="ja-JP"/>
        </w:rPr>
        <w:t>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49D7">
        <w:rPr>
          <w:rFonts w:ascii="Arial" w:hAnsi="Arial" w:cs="Arial"/>
          <w:b/>
          <w:bCs/>
          <w:sz w:val="24"/>
        </w:rPr>
        <w:t>UE capability aspects for LTE/NR tight interworking</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595F30" w:rsidP="00CD4C7B">
      <w:r w:rsidRPr="00595F30">
        <w:t xml:space="preserve">The purpose of this contribution is to </w:t>
      </w:r>
      <w:r>
        <w:t>initiate a discussion on UE</w:t>
      </w:r>
      <w:r w:rsidRPr="00595F30">
        <w:t xml:space="preserve"> capabilities in the conte</w:t>
      </w:r>
      <w:r w:rsidR="0057260F">
        <w:t>xt of LTE/NR tight interworking in lieu of the LS from RAN2 in [1].</w:t>
      </w:r>
      <w:r>
        <w:t xml:space="preserve"> </w:t>
      </w:r>
    </w:p>
    <w:p w:rsidR="00CD4C7B" w:rsidRPr="006E13D1" w:rsidRDefault="00CD4C7B" w:rsidP="00CD4C7B">
      <w:pPr>
        <w:pStyle w:val="Heading1"/>
      </w:pPr>
      <w:r w:rsidRPr="006E13D1">
        <w:t>2</w:t>
      </w:r>
      <w:r w:rsidRPr="006E13D1">
        <w:tab/>
      </w:r>
      <w:r w:rsidR="0057260F">
        <w:t>Recap of deployment scenarios</w:t>
      </w:r>
    </w:p>
    <w:p w:rsidR="0057260F" w:rsidRDefault="0057260F" w:rsidP="0057260F">
      <w:r>
        <w:t xml:space="preserve">The </w:t>
      </w:r>
      <w:r w:rsidRPr="00222458">
        <w:t>three deployment scenarios</w:t>
      </w:r>
      <w:r>
        <w:t xml:space="preserve"> that were agreed to be studied as part of LTE-NR tight interworking are shown in Figure 1 below. These correspond to the non-standalone interworking scenarios captured in RP-161266 [2] and numbered as Options 3, 4 and 7 respectively:</w:t>
      </w:r>
    </w:p>
    <w:p w:rsidR="0057260F" w:rsidRDefault="0057260F" w:rsidP="0057260F">
      <w:r w:rsidRPr="00F3251F">
        <w:rPr>
          <w:rFonts w:ascii="Arial" w:hAnsi="Arial" w:cs="Arial"/>
          <w:lang w:val="en-IN"/>
        </w:rPr>
        <w:object w:dxaOrig="12815" w:dyaOrig="3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75pt" o:ole="">
            <v:imagedata r:id="rId7" o:title=""/>
          </v:shape>
          <o:OLEObject Type="Embed" ProgID="Visio.Drawing.11" ShapeID="_x0000_i1025" DrawAspect="Content" ObjectID="_1545489152" r:id="rId8"/>
        </w:object>
      </w:r>
    </w:p>
    <w:p w:rsidR="00CD4C7B" w:rsidRPr="00F3251F" w:rsidRDefault="0057260F" w:rsidP="0057260F">
      <w:pPr>
        <w:jc w:val="center"/>
        <w:rPr>
          <w:rFonts w:ascii="Arial" w:hAnsi="Arial"/>
          <w:b/>
        </w:rPr>
      </w:pPr>
      <w:r w:rsidRPr="00F3251F">
        <w:rPr>
          <w:rFonts w:ascii="Arial" w:hAnsi="Arial"/>
          <w:b/>
        </w:rPr>
        <w:t>Figure 1: LTE-NR tight interworking deployment scenarios (RP-161266)</w:t>
      </w:r>
    </w:p>
    <w:p w:rsidR="0057260F" w:rsidRPr="0057260F" w:rsidRDefault="0057260F" w:rsidP="0057260F">
      <w:pPr>
        <w:rPr>
          <w:b/>
        </w:rPr>
      </w:pPr>
      <w:r>
        <w:t>The</w:t>
      </w:r>
      <w:r w:rsidR="00833CE6">
        <w:t xml:space="preserve">se scenarios are used as a reference for </w:t>
      </w:r>
      <w:r>
        <w:t>this discussion paper</w:t>
      </w:r>
      <w:r w:rsidR="00833CE6">
        <w:t>.</w:t>
      </w:r>
    </w:p>
    <w:p w:rsidR="00CD4C7B" w:rsidRPr="006E13D1" w:rsidRDefault="00CD4C7B" w:rsidP="00CD4C7B">
      <w:pPr>
        <w:pStyle w:val="Heading1"/>
      </w:pPr>
      <w:r w:rsidRPr="006E13D1">
        <w:t>3</w:t>
      </w:r>
      <w:r w:rsidRPr="006E13D1">
        <w:tab/>
      </w:r>
      <w:r w:rsidR="00F3251F">
        <w:t xml:space="preserve">Discussion on questions addressed to RAN1 </w:t>
      </w:r>
    </w:p>
    <w:p w:rsidR="00CD4C7B" w:rsidRDefault="00CD4C7B" w:rsidP="00CD4C7B">
      <w:pPr>
        <w:pStyle w:val="Heading2"/>
      </w:pPr>
      <w:r w:rsidRPr="006E13D1">
        <w:t>3.1</w:t>
      </w:r>
      <w:r w:rsidRPr="006E13D1">
        <w:tab/>
      </w:r>
      <w:r w:rsidR="00F3251F" w:rsidRPr="00F3251F">
        <w:t>NR capabilities associated with tight interworking</w:t>
      </w:r>
    </w:p>
    <w:p w:rsidR="00B33E75" w:rsidRPr="00B33E75" w:rsidRDefault="00B33E75" w:rsidP="00B33E75">
      <w:r>
        <w:t>The questions from the RAN2 LS in [1] are pasted below for reference</w:t>
      </w:r>
      <w:r w:rsidR="002B764E">
        <w:t xml:space="preserve"> </w:t>
      </w:r>
      <w:r w:rsidR="002B764E" w:rsidRPr="002B764E">
        <w:rPr>
          <w:i/>
        </w:rPr>
        <w:t>in italics</w:t>
      </w:r>
      <w:r>
        <w:t xml:space="preserve">. </w:t>
      </w:r>
    </w:p>
    <w:p w:rsidR="00B33E75" w:rsidRPr="00B33E75" w:rsidRDefault="00B33E75" w:rsidP="00B33E75">
      <w:pPr>
        <w:rPr>
          <w:i/>
        </w:rPr>
      </w:pPr>
      <w:r w:rsidRPr="00B33E75">
        <w:rPr>
          <w:i/>
        </w:rPr>
        <w:t>Q1: Which of the physical layer parameters and RF parameters relevant to LTE/NR tight interworking needs to be coordinated between eNB and gNB (c.f. Table 3)?</w:t>
      </w:r>
    </w:p>
    <w:p w:rsidR="00B33E75" w:rsidRDefault="00947628" w:rsidP="00B33E75">
      <w:r>
        <w:t>Some</w:t>
      </w:r>
      <w:r w:rsidR="002B764E">
        <w:t xml:space="preserve"> of the</w:t>
      </w:r>
      <w:r>
        <w:t xml:space="preserve"> capabilities like supported data rate of LTE and NR </w:t>
      </w:r>
      <w:r w:rsidR="002B764E">
        <w:t>relate</w:t>
      </w:r>
      <w:r w:rsidRPr="00947628">
        <w:t xml:space="preserve"> to the UE categories, e.g. in terms of L2 buffer sizes and the physical layer related maximum number of transport block bits received within a TTI, total number of soft channel bits and maximum number of </w:t>
      </w:r>
      <w:r>
        <w:t xml:space="preserve">layers for spatial multiplexing, and </w:t>
      </w:r>
      <w:r w:rsidRPr="00947628">
        <w:t>may depend on whether the UE is operating just one of the RATs, or both at the same time. Further used bandwidth (e.g. configured number of carriers) on the two</w:t>
      </w:r>
      <w:r>
        <w:t xml:space="preserve"> RATs may depend on each other.</w:t>
      </w:r>
      <w:r w:rsidR="002B764E">
        <w:t xml:space="preserve"> Hence, RF bands and the HARQ soft buffer seem to be relevant from the capability sharing perspective. Furthermore, UL transmission power may also be relevant in this regard.</w:t>
      </w:r>
    </w:p>
    <w:p w:rsidR="002B764E" w:rsidRPr="002B764E" w:rsidRDefault="002B764E" w:rsidP="00B33E75">
      <w:pPr>
        <w:rPr>
          <w:b/>
        </w:rPr>
      </w:pPr>
      <w:r w:rsidRPr="002B764E">
        <w:rPr>
          <w:b/>
        </w:rPr>
        <w:t xml:space="preserve">Observation 1: </w:t>
      </w:r>
      <w:r>
        <w:rPr>
          <w:b/>
        </w:rPr>
        <w:t>R</w:t>
      </w:r>
      <w:r w:rsidRPr="002B764E">
        <w:rPr>
          <w:b/>
        </w:rPr>
        <w:t>F bands, HARQ soft buffer and UL transmission power</w:t>
      </w:r>
      <w:r>
        <w:rPr>
          <w:b/>
        </w:rPr>
        <w:t xml:space="preserve"> related UE capabilities are relevant to LTE/NR tight interworking.</w:t>
      </w:r>
    </w:p>
    <w:p w:rsidR="002B764E" w:rsidRDefault="002B764E" w:rsidP="00B33E75">
      <w:pPr>
        <w:rPr>
          <w:b/>
        </w:rPr>
      </w:pPr>
      <w:r w:rsidRPr="002B764E">
        <w:rPr>
          <w:b/>
        </w:rPr>
        <w:lastRenderedPageBreak/>
        <w:t xml:space="preserve">Proposal 1: </w:t>
      </w:r>
      <w:r>
        <w:rPr>
          <w:b/>
        </w:rPr>
        <w:t xml:space="preserve"> </w:t>
      </w:r>
      <w:r w:rsidR="00E47CF8">
        <w:rPr>
          <w:b/>
        </w:rPr>
        <w:t>Agree on the L1/RF parameters that may be relevant for eNB/gNB coordination based on the list proposed</w:t>
      </w:r>
    </w:p>
    <w:p w:rsidR="00E47CF8" w:rsidRPr="00E47CF8" w:rsidRDefault="00E47CF8" w:rsidP="00B33E75"/>
    <w:p w:rsidR="00B33E75" w:rsidRPr="002B764E" w:rsidRDefault="00B33E75" w:rsidP="002B764E">
      <w:pPr>
        <w:pStyle w:val="B1"/>
        <w:ind w:left="0" w:firstLine="0"/>
        <w:rPr>
          <w:i/>
        </w:rPr>
      </w:pPr>
      <w:r w:rsidRPr="002B764E">
        <w:rPr>
          <w:i/>
        </w:rPr>
        <w:t>Q2: Is dynamic sharing of HARQ soft buffer feasible between LTE and NR or will the total number of soft-channel bits be semi-statically split between LTE and NR?</w:t>
      </w:r>
    </w:p>
    <w:p w:rsidR="00D358A7" w:rsidRDefault="00D358A7" w:rsidP="00B33E75">
      <w:pPr>
        <w:pStyle w:val="B1"/>
        <w:ind w:left="0" w:firstLine="0"/>
      </w:pPr>
      <w:r w:rsidRPr="00D358A7">
        <w:t xml:space="preserve">The discussion on L2 capabilities may begin by looking at the HARQ buffer sharing possibilities; because it is an expensive part in the baseband chip. </w:t>
      </w:r>
      <w:r>
        <w:t>It</w:t>
      </w:r>
      <w:r w:rsidRPr="00D358A7">
        <w:t xml:space="preserve"> is understood that if the different RATs (WCDMA, LTE and NR) are tightly integrated in the baseband chip, it should be possible to share their HARQ buffers. We consider that typically the common memory is shared among RATs (including HARQ buffer), though prior to LTE/NR tight interworking, multiple RATs are not simultaneously active. Hence, if two RATs simultaneously use the same HARQ buffer area, then it must be possible to secure the combined data rate and latency requirements by UE internal design. Soft buffer memory for storing Transport Block data could be shared between RATs. For LTE and NR there are however notable differences compared to the legacy operations, namely the data is  subject to different coding/decoding  principles (Turbo vs. LDPC) and their code block sizes, and the timing constraints of ACKs are different dye to different symbol lengths, TTI lengths and due to their depe</w:t>
      </w:r>
      <w:r>
        <w:t xml:space="preserve">ndency on the decoding result. </w:t>
      </w:r>
      <w:r w:rsidRPr="00D358A7">
        <w:t>Therefore, there may appear large challenges of sharing common hardware and memory resources and sharing them fast enough, namely, if sharing, that may lead to large control overhead in the circuitry and may have a negative impact to the decoding speed. We also consider that dynamic (fast) sharing of the HARQ buffer resources might not be practical due to the extremely fast nature of HARQ processing, e.g. due to its asynchronicity, due to its dependency on the symbol length and TTI lengths, and because of the tight requirements of HARQ feedback reporting. Further, in the LTE-NR interworking, which is a dominant (early) deployment for NR, LTE and NR need to be flexibly operational at the same time. It is not easy to see that LTE and NR soft-channel processing could be easily and flexibly tradable (on the fly) for any required data rate between them.</w:t>
      </w:r>
    </w:p>
    <w:p w:rsidR="00CD4C7B" w:rsidRDefault="00D358A7" w:rsidP="00B33E75">
      <w:pPr>
        <w:pStyle w:val="B1"/>
        <w:ind w:left="0" w:firstLine="0"/>
      </w:pPr>
      <w:r>
        <w:t>In addition, s</w:t>
      </w:r>
      <w:r w:rsidR="00B33E75">
        <w:t>ome UE architectures may be able to semi-statically (</w:t>
      </w:r>
      <w:r w:rsidR="00F17737">
        <w:t xml:space="preserve">based on a </w:t>
      </w:r>
      <w:r w:rsidR="00B33E75">
        <w:t xml:space="preserve">higher layer configuration) share a common soft buffer, while some other UE architectures may have a fixed soft buffer allocation to each RAT. </w:t>
      </w:r>
      <w:r>
        <w:t>Hence, d</w:t>
      </w:r>
      <w:r w:rsidR="00B33E75">
        <w:t>ynamic allocation of HARQ memory</w:t>
      </w:r>
      <w:r>
        <w:t xml:space="preserve"> needs to be discussed</w:t>
      </w:r>
      <w:r w:rsidR="00B33E75">
        <w:t>.</w:t>
      </w:r>
    </w:p>
    <w:p w:rsidR="00D358A7" w:rsidRDefault="00D358A7" w:rsidP="00B33E75">
      <w:pPr>
        <w:pStyle w:val="B1"/>
        <w:ind w:left="0" w:firstLine="0"/>
        <w:rPr>
          <w:b/>
        </w:rPr>
      </w:pPr>
      <w:r w:rsidRPr="00D358A7">
        <w:rPr>
          <w:b/>
        </w:rPr>
        <w:t>Observation 2:</w:t>
      </w:r>
      <w:r>
        <w:rPr>
          <w:b/>
        </w:rPr>
        <w:t xml:space="preserve"> </w:t>
      </w:r>
      <w:r w:rsidR="00B73585">
        <w:rPr>
          <w:b/>
        </w:rPr>
        <w:t xml:space="preserve">It appears possible for a UE architecture to support either a </w:t>
      </w:r>
      <w:r>
        <w:rPr>
          <w:b/>
        </w:rPr>
        <w:t xml:space="preserve">soft buffer </w:t>
      </w:r>
      <w:r w:rsidR="00B73585">
        <w:rPr>
          <w:b/>
        </w:rPr>
        <w:t xml:space="preserve">common for LTE and NR, </w:t>
      </w:r>
      <w:r>
        <w:rPr>
          <w:b/>
        </w:rPr>
        <w:t>or have a fixed soft buffer allocation to each RAT.</w:t>
      </w:r>
    </w:p>
    <w:p w:rsidR="00D358A7" w:rsidRPr="00D358A7" w:rsidRDefault="00D358A7" w:rsidP="00B33E75">
      <w:pPr>
        <w:pStyle w:val="B1"/>
        <w:ind w:left="0" w:firstLine="0"/>
        <w:rPr>
          <w:b/>
        </w:rPr>
      </w:pPr>
      <w:r w:rsidRPr="002B764E">
        <w:rPr>
          <w:b/>
        </w:rPr>
        <w:t xml:space="preserve">Proposal </w:t>
      </w:r>
      <w:r w:rsidR="00175808">
        <w:rPr>
          <w:b/>
        </w:rPr>
        <w:t>2</w:t>
      </w:r>
      <w:r w:rsidRPr="002B764E">
        <w:rPr>
          <w:b/>
        </w:rPr>
        <w:t xml:space="preserve">: </w:t>
      </w:r>
      <w:r>
        <w:rPr>
          <w:b/>
        </w:rPr>
        <w:t xml:space="preserve">Discuss </w:t>
      </w:r>
      <w:r w:rsidR="00B73585">
        <w:rPr>
          <w:b/>
        </w:rPr>
        <w:t xml:space="preserve">if a common </w:t>
      </w:r>
      <w:r w:rsidR="00E47CF8">
        <w:rPr>
          <w:b/>
        </w:rPr>
        <w:t xml:space="preserve">soft buffer between LTE and NR is considered </w:t>
      </w:r>
      <w:r w:rsidR="00B73585">
        <w:rPr>
          <w:b/>
        </w:rPr>
        <w:t>feasible in the UE architecture</w:t>
      </w:r>
      <w:r w:rsidR="00E47CF8">
        <w:rPr>
          <w:b/>
        </w:rPr>
        <w:t>, and if so, whether it can be expected from all UEs or if this is to be left for UE implementation choi</w:t>
      </w:r>
      <w:r w:rsidR="00B73585">
        <w:rPr>
          <w:b/>
        </w:rPr>
        <w:t>c</w:t>
      </w:r>
      <w:r w:rsidR="00E47CF8">
        <w:rPr>
          <w:b/>
        </w:rPr>
        <w:t>e.</w:t>
      </w:r>
    </w:p>
    <w:p w:rsidR="00CD4C7B" w:rsidRPr="006E13D1" w:rsidRDefault="00CD4C7B" w:rsidP="00CD4C7B">
      <w:pPr>
        <w:pStyle w:val="Heading2"/>
      </w:pPr>
      <w:r w:rsidRPr="006E13D1">
        <w:t>3.2</w:t>
      </w:r>
      <w:r w:rsidRPr="006E13D1">
        <w:tab/>
      </w:r>
      <w:r w:rsidR="00F3251F" w:rsidRPr="00F3251F">
        <w:t xml:space="preserve">NR </w:t>
      </w:r>
      <w:r w:rsidR="00F3251F">
        <w:t>standalone capabilities</w:t>
      </w:r>
    </w:p>
    <w:p w:rsidR="00175808" w:rsidRPr="00175808" w:rsidRDefault="00175808" w:rsidP="00175808">
      <w:pPr>
        <w:rPr>
          <w:i/>
          <w:lang w:val="en-US"/>
        </w:rPr>
      </w:pPr>
      <w:r w:rsidRPr="00175808">
        <w:rPr>
          <w:i/>
          <w:lang w:val="en-US"/>
        </w:rPr>
        <w:t>Q3: For NR operation above 6 GHz, is a frequency band viewed as a single wideband carrier or as multiple contiguous component carriers?</w:t>
      </w:r>
    </w:p>
    <w:p w:rsidR="00E47CF8" w:rsidRDefault="00E47CF8" w:rsidP="00175808">
      <w:pPr>
        <w:rPr>
          <w:lang w:val="en-US"/>
        </w:rPr>
      </w:pPr>
      <w:r>
        <w:rPr>
          <w:lang w:val="en-US"/>
        </w:rPr>
        <w:t>The wider bandwidth discussion is currently ongoing in RAN1. If the RAN1 NR Ad Hoc is concluding on the matter, the answer should be provided to RAN2.</w:t>
      </w:r>
    </w:p>
    <w:p w:rsidR="00175808" w:rsidRPr="00175808" w:rsidRDefault="00E47CF8" w:rsidP="00175808">
      <w:pPr>
        <w:rPr>
          <w:lang w:val="en-US"/>
        </w:rPr>
      </w:pPr>
      <w:r>
        <w:rPr>
          <w:lang w:val="en-US"/>
        </w:rPr>
        <w:t xml:space="preserve">It may be useful to inform RAN2 that </w:t>
      </w:r>
      <w:r w:rsidR="00175808" w:rsidRPr="00E47CF8">
        <w:rPr>
          <w:lang w:val="en-US"/>
        </w:rPr>
        <w:t xml:space="preserve">RAN1 has </w:t>
      </w:r>
      <w:r>
        <w:rPr>
          <w:lang w:val="en-US"/>
        </w:rPr>
        <w:t xml:space="preserve">already earlier </w:t>
      </w:r>
      <w:r w:rsidR="00175808" w:rsidRPr="00E47CF8">
        <w:rPr>
          <w:lang w:val="en-US"/>
        </w:rPr>
        <w:t>agreed that the NR carrier should be able to support devices that are not capable of supporting t</w:t>
      </w:r>
      <w:r>
        <w:rPr>
          <w:lang w:val="en-US"/>
        </w:rPr>
        <w:t>he full carrier bandwidth. I</w:t>
      </w:r>
      <w:r w:rsidR="00175808" w:rsidRPr="00E47CF8">
        <w:rPr>
          <w:lang w:val="en-US"/>
        </w:rPr>
        <w:t>.e. unlike in LTE, where all the UEs were expected to support the full carrier BW, UEs with different bandwidth support may exist.</w:t>
      </w:r>
    </w:p>
    <w:p w:rsidR="00E47CF8" w:rsidRPr="00B73585" w:rsidRDefault="00B73585" w:rsidP="00175808">
      <w:pPr>
        <w:rPr>
          <w:b/>
          <w:lang w:val="en-US"/>
        </w:rPr>
      </w:pPr>
      <w:r w:rsidRPr="00B73585">
        <w:rPr>
          <w:b/>
          <w:lang w:val="en-US"/>
        </w:rPr>
        <w:t xml:space="preserve">Proposal 3: Agree on </w:t>
      </w:r>
      <w:r>
        <w:rPr>
          <w:b/>
          <w:lang w:val="en-US"/>
        </w:rPr>
        <w:t>a solution for wide-band operation</w:t>
      </w:r>
    </w:p>
    <w:p w:rsidR="00B73585" w:rsidRPr="00B73585" w:rsidRDefault="00B73585" w:rsidP="00175808">
      <w:pPr>
        <w:rPr>
          <w:b/>
          <w:lang w:val="en-US"/>
        </w:rPr>
      </w:pPr>
    </w:p>
    <w:p w:rsidR="00175808" w:rsidRPr="00175808" w:rsidRDefault="00175808" w:rsidP="00175808">
      <w:pPr>
        <w:rPr>
          <w:i/>
          <w:lang w:val="en-US"/>
        </w:rPr>
      </w:pPr>
      <w:r w:rsidRPr="00175808">
        <w:rPr>
          <w:i/>
          <w:lang w:val="en-US"/>
        </w:rPr>
        <w:t>Q4: The LTE UE capabilities support extensive UE implementation flexibility. In particular, the UE can indicate support for a feature (e.g. MIMO layers, CSI processes) per band of a band combination. Is a similar (signalling intense) flexibility assumed to be supported for NR?</w:t>
      </w:r>
    </w:p>
    <w:p w:rsidR="00CD4C7B" w:rsidRDefault="00E47CF8" w:rsidP="00175808">
      <w:pPr>
        <w:rPr>
          <w:lang w:val="en-US"/>
        </w:rPr>
      </w:pPr>
      <w:r>
        <w:rPr>
          <w:lang w:val="en-US"/>
        </w:rPr>
        <w:t>As these aspects were based on practical implementation constraints, one can expect that s</w:t>
      </w:r>
      <w:r w:rsidR="00175808" w:rsidRPr="00E47CF8">
        <w:rPr>
          <w:lang w:val="en-US"/>
        </w:rPr>
        <w:t>imilar flexibility is needed in NR</w:t>
      </w:r>
      <w:r>
        <w:rPr>
          <w:lang w:val="en-US"/>
        </w:rPr>
        <w:t>.</w:t>
      </w:r>
    </w:p>
    <w:p w:rsidR="00B73585" w:rsidRPr="00B73585" w:rsidRDefault="00B73585" w:rsidP="00B73585">
      <w:pPr>
        <w:rPr>
          <w:b/>
          <w:lang w:val="en-US"/>
        </w:rPr>
      </w:pPr>
      <w:r w:rsidRPr="00B73585">
        <w:rPr>
          <w:b/>
          <w:lang w:val="en-US"/>
        </w:rPr>
        <w:t xml:space="preserve">Proposal </w:t>
      </w:r>
      <w:r>
        <w:rPr>
          <w:b/>
          <w:lang w:val="en-US"/>
        </w:rPr>
        <w:t>4</w:t>
      </w:r>
      <w:r w:rsidRPr="00B73585">
        <w:rPr>
          <w:b/>
          <w:lang w:val="en-US"/>
        </w:rPr>
        <w:t xml:space="preserve">: </w:t>
      </w:r>
      <w:r>
        <w:rPr>
          <w:b/>
          <w:lang w:val="en-US"/>
        </w:rPr>
        <w:t>Similar implementation constraints exist for NR as for LTE, and thus similar flexibility for UE capability signaling is needed per band of a band combination</w:t>
      </w:r>
    </w:p>
    <w:p w:rsidR="00B73585" w:rsidRPr="00175808" w:rsidRDefault="00B73585" w:rsidP="00175808">
      <w:pPr>
        <w:rPr>
          <w:lang w:val="en-US"/>
        </w:rPr>
      </w:pPr>
    </w:p>
    <w:p w:rsidR="00CD4C7B" w:rsidRPr="006E13D1" w:rsidRDefault="00CD4C7B" w:rsidP="00CD4C7B">
      <w:pPr>
        <w:pStyle w:val="Heading1"/>
      </w:pPr>
      <w:r w:rsidRPr="006E13D1">
        <w:lastRenderedPageBreak/>
        <w:t>4</w:t>
      </w:r>
      <w:r w:rsidRPr="006E13D1">
        <w:tab/>
      </w:r>
      <w:r w:rsidR="00AA5EF7">
        <w:t>Conclusion</w:t>
      </w:r>
    </w:p>
    <w:p w:rsidR="00175808" w:rsidRDefault="00175808" w:rsidP="00CD4C7B">
      <w:r>
        <w:t>Based on the discussion in this paper, we make the following proposals:</w:t>
      </w:r>
    </w:p>
    <w:p w:rsidR="00B73585" w:rsidRDefault="00B73585" w:rsidP="00B73585">
      <w:pPr>
        <w:rPr>
          <w:b/>
        </w:rPr>
      </w:pPr>
      <w:r w:rsidRPr="002B764E">
        <w:rPr>
          <w:b/>
        </w:rPr>
        <w:t xml:space="preserve">Proposal 1: </w:t>
      </w:r>
      <w:r>
        <w:rPr>
          <w:b/>
        </w:rPr>
        <w:t xml:space="preserve"> Agree on the L1/RF parameters that may be relevant for eNB/gNB coordination based on the list proposed</w:t>
      </w:r>
    </w:p>
    <w:p w:rsidR="00B73585" w:rsidRPr="00D358A7" w:rsidRDefault="00B73585" w:rsidP="00B73585">
      <w:pPr>
        <w:pStyle w:val="B1"/>
        <w:ind w:left="0" w:firstLine="0"/>
        <w:rPr>
          <w:b/>
        </w:rPr>
      </w:pPr>
      <w:r w:rsidRPr="002B764E">
        <w:rPr>
          <w:b/>
        </w:rPr>
        <w:t xml:space="preserve">Proposal </w:t>
      </w:r>
      <w:r>
        <w:rPr>
          <w:b/>
        </w:rPr>
        <w:t>2</w:t>
      </w:r>
      <w:r w:rsidRPr="002B764E">
        <w:rPr>
          <w:b/>
        </w:rPr>
        <w:t xml:space="preserve">: </w:t>
      </w:r>
      <w:r>
        <w:rPr>
          <w:b/>
        </w:rPr>
        <w:t>Discuss if a common soft buffer between LTE and NR is considered feasible in the UE architecture, and if so, whether it can be expected from all UEs or if this is to be left for UE implementation choice.</w:t>
      </w:r>
    </w:p>
    <w:p w:rsidR="00B73585" w:rsidRPr="00B73585" w:rsidRDefault="00B73585" w:rsidP="00B73585">
      <w:pPr>
        <w:rPr>
          <w:b/>
          <w:lang w:val="en-US"/>
        </w:rPr>
      </w:pPr>
      <w:r w:rsidRPr="00B73585">
        <w:rPr>
          <w:b/>
          <w:lang w:val="en-US"/>
        </w:rPr>
        <w:t xml:space="preserve">Proposal 3: Agree on </w:t>
      </w:r>
      <w:r>
        <w:rPr>
          <w:b/>
          <w:lang w:val="en-US"/>
        </w:rPr>
        <w:t>a solution for wide-band operation</w:t>
      </w:r>
    </w:p>
    <w:p w:rsidR="00B73585" w:rsidRPr="00B73585" w:rsidRDefault="00B73585" w:rsidP="00B73585">
      <w:pPr>
        <w:rPr>
          <w:b/>
          <w:lang w:val="en-US"/>
        </w:rPr>
      </w:pPr>
      <w:r w:rsidRPr="00B73585">
        <w:rPr>
          <w:b/>
          <w:lang w:val="en-US"/>
        </w:rPr>
        <w:t xml:space="preserve">Proposal </w:t>
      </w:r>
      <w:r>
        <w:rPr>
          <w:b/>
          <w:lang w:val="en-US"/>
        </w:rPr>
        <w:t>4</w:t>
      </w:r>
      <w:r w:rsidRPr="00B73585">
        <w:rPr>
          <w:b/>
          <w:lang w:val="en-US"/>
        </w:rPr>
        <w:t xml:space="preserve">: </w:t>
      </w:r>
      <w:r>
        <w:rPr>
          <w:b/>
          <w:lang w:val="en-US"/>
        </w:rPr>
        <w:t>Similar implementation constraints exist for NR as for LTE, and thus similar flexibility for UE capability signaling is needed per band of a band combination</w:t>
      </w:r>
    </w:p>
    <w:p w:rsidR="00B73585" w:rsidRDefault="00B73585" w:rsidP="00B73585">
      <w:pPr>
        <w:rPr>
          <w:b/>
          <w:lang w:val="en-US"/>
        </w:rPr>
      </w:pPr>
    </w:p>
    <w:p w:rsidR="00B73585" w:rsidRPr="00B73585" w:rsidRDefault="00B73585" w:rsidP="00B73585">
      <w:pPr>
        <w:rPr>
          <w:b/>
          <w:lang w:val="en-US"/>
        </w:rPr>
      </w:pPr>
      <w:r>
        <w:rPr>
          <w:b/>
          <w:lang w:val="en-US"/>
        </w:rPr>
        <w:t>Proposal 5: Provide RAN2 with a response LS based on the discussions and agreements of the RAN1 ad hoc</w:t>
      </w:r>
    </w:p>
    <w:p w:rsidR="00CD4C7B" w:rsidRPr="006E13D1" w:rsidRDefault="00CD4C7B" w:rsidP="00CD4C7B">
      <w:pPr>
        <w:pStyle w:val="Heading1"/>
      </w:pPr>
      <w:r w:rsidRPr="006E13D1">
        <w:t>References</w:t>
      </w:r>
    </w:p>
    <w:p w:rsidR="00CD4C7B" w:rsidRDefault="00595F30" w:rsidP="00595F30">
      <w:pPr>
        <w:numPr>
          <w:ilvl w:val="0"/>
          <w:numId w:val="4"/>
        </w:numPr>
        <w:overflowPunct w:val="0"/>
        <w:autoSpaceDE w:val="0"/>
        <w:autoSpaceDN w:val="0"/>
        <w:adjustRightInd w:val="0"/>
        <w:textAlignment w:val="baseline"/>
      </w:pPr>
      <w:bookmarkStart w:id="2" w:name="_Ref75086397"/>
      <w:r w:rsidRPr="00595F30">
        <w:t>R2-168961</w:t>
      </w:r>
      <w:r>
        <w:t xml:space="preserve">: </w:t>
      </w:r>
      <w:r w:rsidRPr="00595F30">
        <w:t>LS on UE capability aspects for LTE/NR tight interworking</w:t>
      </w:r>
      <w:r>
        <w:t xml:space="preserve">, </w:t>
      </w:r>
      <w:r w:rsidRPr="00F17737">
        <w:rPr>
          <w:i/>
        </w:rPr>
        <w:t>RAN2</w:t>
      </w:r>
      <w:bookmarkEnd w:id="2"/>
    </w:p>
    <w:p w:rsidR="0057260F" w:rsidRPr="00F17737" w:rsidRDefault="0057260F" w:rsidP="00595F30">
      <w:pPr>
        <w:numPr>
          <w:ilvl w:val="0"/>
          <w:numId w:val="4"/>
        </w:numPr>
        <w:overflowPunct w:val="0"/>
        <w:autoSpaceDE w:val="0"/>
        <w:autoSpaceDN w:val="0"/>
        <w:adjustRightInd w:val="0"/>
        <w:textAlignment w:val="baseline"/>
      </w:pPr>
      <w:r>
        <w:t xml:space="preserve">RP-161266: </w:t>
      </w:r>
      <w:r w:rsidRPr="008D1F94">
        <w:t>5G architecture options – full set</w:t>
      </w:r>
      <w:r>
        <w:t xml:space="preserve">, </w:t>
      </w:r>
      <w:r w:rsidRPr="008D1F94">
        <w:rPr>
          <w:i/>
        </w:rPr>
        <w:t>Deutsche Telekom AG</w:t>
      </w:r>
    </w:p>
    <w:p w:rsidR="00F17737" w:rsidRPr="006E13D1" w:rsidRDefault="00F17737" w:rsidP="00F17737">
      <w:pPr>
        <w:numPr>
          <w:ilvl w:val="0"/>
          <w:numId w:val="4"/>
        </w:numPr>
        <w:overflowPunct w:val="0"/>
        <w:autoSpaceDE w:val="0"/>
        <w:autoSpaceDN w:val="0"/>
        <w:adjustRightInd w:val="0"/>
        <w:textAlignment w:val="baseline"/>
      </w:pPr>
      <w:r w:rsidRPr="00F17737">
        <w:t>R2-168116</w:t>
      </w:r>
      <w:r>
        <w:t xml:space="preserve">: </w:t>
      </w:r>
      <w:r w:rsidRPr="00F17737">
        <w:t>UE capability modelling aspects for LTE/NR tight interworking</w:t>
      </w:r>
      <w:r>
        <w:t xml:space="preserve">, </w:t>
      </w:r>
      <w:r w:rsidRPr="00F17737">
        <w:t xml:space="preserve">Nokia, </w:t>
      </w:r>
      <w:r w:rsidRPr="00F17737">
        <w:rPr>
          <w:i/>
        </w:rPr>
        <w:t>Alcatel-Lucent Shanghai Bell</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0AB" w:rsidRDefault="00CC00AB">
      <w:r>
        <w:separator/>
      </w:r>
    </w:p>
  </w:endnote>
  <w:endnote w:type="continuationSeparator" w:id="0">
    <w:p w:rsidR="00CC00AB" w:rsidRDefault="00CC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0AB" w:rsidRDefault="00CC00AB">
      <w:r>
        <w:separator/>
      </w:r>
    </w:p>
  </w:footnote>
  <w:footnote w:type="continuationSeparator" w:id="0">
    <w:p w:rsidR="00CC00AB" w:rsidRDefault="00CC0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741A0"/>
    <w:rsid w:val="00175808"/>
    <w:rsid w:val="00194CD0"/>
    <w:rsid w:val="001B49C9"/>
    <w:rsid w:val="001F168B"/>
    <w:rsid w:val="001F7831"/>
    <w:rsid w:val="00204045"/>
    <w:rsid w:val="0022606D"/>
    <w:rsid w:val="002747EC"/>
    <w:rsid w:val="002855BF"/>
    <w:rsid w:val="002B764E"/>
    <w:rsid w:val="002F0D22"/>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3E6C"/>
    <w:rsid w:val="0055601B"/>
    <w:rsid w:val="00565087"/>
    <w:rsid w:val="0056573F"/>
    <w:rsid w:val="0057260F"/>
    <w:rsid w:val="00595F30"/>
    <w:rsid w:val="00604FA3"/>
    <w:rsid w:val="00611566"/>
    <w:rsid w:val="00646D99"/>
    <w:rsid w:val="00656910"/>
    <w:rsid w:val="006C66D8"/>
    <w:rsid w:val="006D1E24"/>
    <w:rsid w:val="006E1417"/>
    <w:rsid w:val="006F6A2C"/>
    <w:rsid w:val="00734A5B"/>
    <w:rsid w:val="00744E76"/>
    <w:rsid w:val="00757D40"/>
    <w:rsid w:val="00781F0F"/>
    <w:rsid w:val="0078727C"/>
    <w:rsid w:val="0079049D"/>
    <w:rsid w:val="0079479C"/>
    <w:rsid w:val="007B18D8"/>
    <w:rsid w:val="007C095F"/>
    <w:rsid w:val="008028A4"/>
    <w:rsid w:val="00833CE6"/>
    <w:rsid w:val="008768CA"/>
    <w:rsid w:val="00877EF9"/>
    <w:rsid w:val="00880559"/>
    <w:rsid w:val="0090271F"/>
    <w:rsid w:val="00906006"/>
    <w:rsid w:val="00936071"/>
    <w:rsid w:val="00942EC2"/>
    <w:rsid w:val="00947628"/>
    <w:rsid w:val="00961B32"/>
    <w:rsid w:val="00974BB0"/>
    <w:rsid w:val="009A0AF3"/>
    <w:rsid w:val="009B07CD"/>
    <w:rsid w:val="009C19E9"/>
    <w:rsid w:val="009D49D7"/>
    <w:rsid w:val="00A10F02"/>
    <w:rsid w:val="00A53724"/>
    <w:rsid w:val="00A82346"/>
    <w:rsid w:val="00A9671C"/>
    <w:rsid w:val="00AA5EF7"/>
    <w:rsid w:val="00B15449"/>
    <w:rsid w:val="00B33E75"/>
    <w:rsid w:val="00B47FD1"/>
    <w:rsid w:val="00B73585"/>
    <w:rsid w:val="00C12B51"/>
    <w:rsid w:val="00C24650"/>
    <w:rsid w:val="00C33079"/>
    <w:rsid w:val="00C83A13"/>
    <w:rsid w:val="00CA3D0C"/>
    <w:rsid w:val="00CA654B"/>
    <w:rsid w:val="00CC00AB"/>
    <w:rsid w:val="00CD4C7B"/>
    <w:rsid w:val="00D358A7"/>
    <w:rsid w:val="00D738D6"/>
    <w:rsid w:val="00D80795"/>
    <w:rsid w:val="00D87E00"/>
    <w:rsid w:val="00D9134D"/>
    <w:rsid w:val="00D96D11"/>
    <w:rsid w:val="00DA7A03"/>
    <w:rsid w:val="00DB1818"/>
    <w:rsid w:val="00DC309B"/>
    <w:rsid w:val="00DC4DA2"/>
    <w:rsid w:val="00DF1A45"/>
    <w:rsid w:val="00E009CD"/>
    <w:rsid w:val="00E47CF8"/>
    <w:rsid w:val="00E62835"/>
    <w:rsid w:val="00E77645"/>
    <w:rsid w:val="00E83697"/>
    <w:rsid w:val="00EC4A25"/>
    <w:rsid w:val="00F025A2"/>
    <w:rsid w:val="00F07388"/>
    <w:rsid w:val="00F17737"/>
    <w:rsid w:val="00F2026E"/>
    <w:rsid w:val="00F2210A"/>
    <w:rsid w:val="00F3251F"/>
    <w:rsid w:val="00F37743"/>
    <w:rsid w:val="00F54A3D"/>
    <w:rsid w:val="00F653B8"/>
    <w:rsid w:val="00F71B89"/>
    <w:rsid w:val="00F7353C"/>
    <w:rsid w:val="00F76F8F"/>
    <w:rsid w:val="00FA1266"/>
    <w:rsid w:val="00FA3300"/>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C81E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E47C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38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791</Words>
  <Characters>6408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Ranta-Aho, Karri (Nokia - FI/Espoo)</dc:creator>
  <cp:lastModifiedBy>Ranta-Aho, Karri (Nokia - FI/Espoo)</cp:lastModifiedBy>
  <cp:revision>2</cp:revision>
  <dcterms:created xsi:type="dcterms:W3CDTF">2017-01-09T15:46:00Z</dcterms:created>
  <dcterms:modified xsi:type="dcterms:W3CDTF">2017-01-09T15:46:00Z</dcterms:modified>
</cp:coreProperties>
</file>